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282EB7" w:rsidRDefault="00452548" w:rsidP="00282EB7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  <w:r w:rsidR="00282EB7" w:rsidRPr="00282EB7">
        <w:rPr>
          <w:b/>
          <w:sz w:val="22"/>
          <w:szCs w:val="22"/>
        </w:rPr>
        <w:t xml:space="preserve"> </w:t>
      </w:r>
      <w:r w:rsidR="00282EB7" w:rsidRPr="00F143EB">
        <w:rPr>
          <w:b/>
          <w:sz w:val="22"/>
          <w:szCs w:val="22"/>
        </w:rPr>
        <w:t xml:space="preserve">на приобретение </w:t>
      </w:r>
    </w:p>
    <w:p w:rsidR="00282EB7" w:rsidRDefault="007348FE" w:rsidP="00282EB7">
      <w:pPr>
        <w:ind w:right="-176" w:firstLine="3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анализатора углерода и серы</w:t>
      </w:r>
    </w:p>
    <w:p w:rsidR="00282EB7" w:rsidRPr="00282EB7" w:rsidRDefault="00282EB7" w:rsidP="00282EB7">
      <w:pPr>
        <w:ind w:right="-176" w:firstLine="360"/>
        <w:jc w:val="center"/>
        <w:rPr>
          <w:b/>
          <w:sz w:val="22"/>
          <w:szCs w:val="22"/>
          <w:u w:val="single"/>
        </w:rPr>
      </w:pPr>
      <w:r w:rsidRPr="00DE64EE">
        <w:rPr>
          <w:b/>
          <w:sz w:val="22"/>
          <w:szCs w:val="22"/>
          <w:u w:val="single"/>
        </w:rPr>
        <w:t xml:space="preserve">для </w:t>
      </w:r>
      <w:r>
        <w:rPr>
          <w:b/>
          <w:sz w:val="22"/>
          <w:szCs w:val="22"/>
          <w:u w:val="single"/>
        </w:rPr>
        <w:t xml:space="preserve"> центральной аналитической лаборатории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D3D59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282EB7">
        <w:trPr>
          <w:trHeight w:val="532"/>
        </w:trPr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D3D5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9E79C3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9E79C3">
              <w:rPr>
                <w:sz w:val="22"/>
                <w:szCs w:val="22"/>
              </w:rPr>
              <w:t>14</w:t>
            </w:r>
            <w:r w:rsidRPr="009342F2">
              <w:rPr>
                <w:sz w:val="22"/>
                <w:szCs w:val="22"/>
              </w:rPr>
              <w:t xml:space="preserve">» </w:t>
            </w:r>
            <w:r w:rsidR="009E79C3">
              <w:rPr>
                <w:sz w:val="22"/>
                <w:szCs w:val="22"/>
              </w:rPr>
              <w:t>ма</w:t>
            </w:r>
            <w:r w:rsidR="007348FE">
              <w:rPr>
                <w:sz w:val="22"/>
                <w:szCs w:val="22"/>
              </w:rPr>
              <w:t>я</w:t>
            </w:r>
            <w:r w:rsidR="00282EB7">
              <w:rPr>
                <w:sz w:val="22"/>
                <w:szCs w:val="22"/>
              </w:rPr>
              <w:t xml:space="preserve"> 202</w:t>
            </w:r>
            <w:r w:rsidR="007348FE">
              <w:rPr>
                <w:sz w:val="22"/>
                <w:szCs w:val="22"/>
              </w:rPr>
              <w:t>4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9E79C3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9E79C3">
              <w:rPr>
                <w:sz w:val="22"/>
                <w:szCs w:val="22"/>
              </w:rPr>
              <w:t>02</w:t>
            </w:r>
            <w:r w:rsidRPr="009342F2">
              <w:rPr>
                <w:sz w:val="22"/>
                <w:szCs w:val="22"/>
              </w:rPr>
              <w:t xml:space="preserve">» </w:t>
            </w:r>
            <w:r w:rsidR="009E79C3">
              <w:rPr>
                <w:sz w:val="22"/>
                <w:szCs w:val="22"/>
              </w:rPr>
              <w:t>ма</w:t>
            </w:r>
            <w:r w:rsidR="007348FE">
              <w:rPr>
                <w:sz w:val="22"/>
                <w:szCs w:val="22"/>
              </w:rPr>
              <w:t>я</w:t>
            </w:r>
            <w:r w:rsidR="00282EB7">
              <w:rPr>
                <w:sz w:val="22"/>
                <w:szCs w:val="22"/>
              </w:rPr>
              <w:t xml:space="preserve"> 2</w:t>
            </w:r>
            <w:r w:rsidR="00587BD4">
              <w:rPr>
                <w:sz w:val="22"/>
                <w:szCs w:val="22"/>
              </w:rPr>
              <w:t>0</w:t>
            </w:r>
            <w:r w:rsidR="00282EB7">
              <w:rPr>
                <w:sz w:val="22"/>
                <w:szCs w:val="22"/>
              </w:rPr>
              <w:t>2</w:t>
            </w:r>
            <w:r w:rsidR="007348FE">
              <w:rPr>
                <w:sz w:val="22"/>
                <w:szCs w:val="22"/>
              </w:rPr>
              <w:t>4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282EB7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участия в конкур</w:t>
      </w:r>
      <w:bookmarkStart w:id="0" w:name="_GoBack"/>
      <w:bookmarkEnd w:id="0"/>
      <w:r w:rsidRPr="009342F2">
        <w:rPr>
          <w:sz w:val="22"/>
          <w:szCs w:val="22"/>
        </w:rPr>
        <w:t xml:space="preserve">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</w:t>
      </w:r>
      <w:r w:rsidR="00282EB7">
        <w:rPr>
          <w:sz w:val="22"/>
          <w:szCs w:val="22"/>
        </w:rPr>
        <w:t>К. Б. Ржаной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9342F2" w:rsidRDefault="00282EB7" w:rsidP="00452548">
      <w:pPr>
        <w:ind w:left="4248" w:right="-17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Начальник ЦАЛ </w:t>
      </w:r>
      <w:proofErr w:type="spellStart"/>
      <w:r>
        <w:rPr>
          <w:i/>
          <w:sz w:val="22"/>
          <w:szCs w:val="22"/>
        </w:rPr>
        <w:t>Лисиенко</w:t>
      </w:r>
      <w:proofErr w:type="spellEnd"/>
      <w:r>
        <w:rPr>
          <w:i/>
          <w:sz w:val="22"/>
          <w:szCs w:val="22"/>
        </w:rPr>
        <w:t xml:space="preserve"> Мария Дмитриевна, +7(967)856-97-52, </w:t>
      </w:r>
      <w:r>
        <w:rPr>
          <w:i/>
          <w:sz w:val="22"/>
          <w:szCs w:val="22"/>
          <w:lang w:val="en-US"/>
        </w:rPr>
        <w:t>m</w:t>
      </w:r>
      <w:r w:rsidRPr="00282EB7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lisienko</w:t>
      </w:r>
      <w:proofErr w:type="spellEnd"/>
      <w:r w:rsidRPr="00282EB7">
        <w:rPr>
          <w:i/>
          <w:sz w:val="22"/>
          <w:szCs w:val="22"/>
        </w:rPr>
        <w:t>@</w:t>
      </w:r>
      <w:proofErr w:type="spellStart"/>
      <w:r>
        <w:rPr>
          <w:i/>
          <w:sz w:val="22"/>
          <w:szCs w:val="22"/>
          <w:lang w:val="en-US"/>
        </w:rPr>
        <w:t>ezocm</w:t>
      </w:r>
      <w:proofErr w:type="spellEnd"/>
      <w:r w:rsidRPr="00282EB7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  <w:r w:rsidR="00452548" w:rsidRPr="009342F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</w:t>
      </w:r>
      <w:r w:rsidR="00452548" w:rsidRPr="009342F2">
        <w:rPr>
          <w:i/>
          <w:sz w:val="22"/>
          <w:szCs w:val="22"/>
        </w:rPr>
        <w:t>___________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9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73" w:rsidRDefault="00805373" w:rsidP="00452548">
      <w:r>
        <w:separator/>
      </w:r>
    </w:p>
  </w:endnote>
  <w:endnote w:type="continuationSeparator" w:id="0">
    <w:p w:rsidR="00805373" w:rsidRDefault="00805373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73" w:rsidRDefault="00805373" w:rsidP="00452548">
      <w:r>
        <w:separator/>
      </w:r>
    </w:p>
  </w:footnote>
  <w:footnote w:type="continuationSeparator" w:id="0">
    <w:p w:rsidR="00805373" w:rsidRDefault="00805373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196187"/>
    <w:rsid w:val="00282EB7"/>
    <w:rsid w:val="00405F57"/>
    <w:rsid w:val="00452548"/>
    <w:rsid w:val="004804F3"/>
    <w:rsid w:val="00587BD4"/>
    <w:rsid w:val="006A05C3"/>
    <w:rsid w:val="006D6B59"/>
    <w:rsid w:val="007348FE"/>
    <w:rsid w:val="00737001"/>
    <w:rsid w:val="00805373"/>
    <w:rsid w:val="008D5A94"/>
    <w:rsid w:val="0091020C"/>
    <w:rsid w:val="00962A02"/>
    <w:rsid w:val="009E79C3"/>
    <w:rsid w:val="00C230F9"/>
    <w:rsid w:val="00D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E067-0C88-44E8-A458-3E641E4C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ЕЗ ОЦМ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Лисиенко Мария Дмитриевна</cp:lastModifiedBy>
  <cp:revision>3</cp:revision>
  <dcterms:created xsi:type="dcterms:W3CDTF">2024-03-18T16:21:00Z</dcterms:created>
  <dcterms:modified xsi:type="dcterms:W3CDTF">2024-03-19T03:10:00Z</dcterms:modified>
</cp:coreProperties>
</file>